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D4" w:rsidRDefault="00CB75D4" w:rsidP="00C44D85"/>
    <w:p w:rsidR="00061297" w:rsidRPr="008B798B" w:rsidRDefault="00061297" w:rsidP="0006129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Habilitación de la funcionalidad 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br/>
      </w:r>
      <w:r w:rsidRPr="00B904D6">
        <w:rPr>
          <w:rFonts w:ascii="Arial" w:hAnsi="Arial" w:cs="Arial"/>
          <w:sz w:val="20"/>
          <w:szCs w:val="20"/>
        </w:rPr>
        <w:t xml:space="preserve">Las retenciones de ganancias se calculan desde la pantalla de </w:t>
      </w:r>
      <w:proofErr w:type="spellStart"/>
      <w:r w:rsidRPr="00B904D6">
        <w:rPr>
          <w:rFonts w:ascii="Arial" w:hAnsi="Arial" w:cs="Arial"/>
          <w:sz w:val="20"/>
          <w:szCs w:val="20"/>
        </w:rPr>
        <w:t>Ordenes</w:t>
      </w:r>
      <w:proofErr w:type="spellEnd"/>
      <w:r w:rsidRPr="00B904D6">
        <w:rPr>
          <w:rFonts w:ascii="Arial" w:hAnsi="Arial" w:cs="Arial"/>
          <w:sz w:val="20"/>
          <w:szCs w:val="20"/>
        </w:rPr>
        <w:t xml:space="preserve"> de Pago y Anticipos a proveedores</w:t>
      </w:r>
      <w:r>
        <w:rPr>
          <w:rFonts w:ascii="Arial" w:hAnsi="Arial" w:cs="Arial"/>
          <w:sz w:val="20"/>
          <w:szCs w:val="20"/>
        </w:rPr>
        <w:t>. Pero la función se habilita desde la pantalla de configuración del sistema, solapa IMPUESTOS.</w:t>
      </w:r>
    </w:p>
    <w:p w:rsidR="00061297" w:rsidRDefault="00061297" w:rsidP="00061297"/>
    <w:p w:rsidR="00061297" w:rsidRDefault="00061297" w:rsidP="00061297">
      <w:pPr>
        <w:ind w:firstLine="708"/>
      </w:pPr>
      <w:r>
        <w:rPr>
          <w:noProof/>
        </w:rPr>
        <w:drawing>
          <wp:inline distT="0" distB="0" distL="0" distR="0">
            <wp:extent cx="4104005" cy="3291840"/>
            <wp:effectExtent l="0" t="0" r="0" b="381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297" w:rsidRDefault="00061297" w:rsidP="00061297"/>
    <w:p w:rsidR="00061297" w:rsidRDefault="00061297" w:rsidP="00061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esta pantalla solo se puede acceder con el usuario </w:t>
      </w:r>
      <w:proofErr w:type="spellStart"/>
      <w:r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 xml:space="preserve"> o </w:t>
      </w:r>
      <w:proofErr w:type="spellStart"/>
      <w:r>
        <w:rPr>
          <w:rFonts w:ascii="Arial" w:hAnsi="Arial" w:cs="Arial"/>
          <w:sz w:val="20"/>
          <w:szCs w:val="20"/>
        </w:rPr>
        <w:t>admin</w:t>
      </w:r>
      <w:proofErr w:type="spellEnd"/>
      <w:r>
        <w:rPr>
          <w:rFonts w:ascii="Arial" w:hAnsi="Arial" w:cs="Arial"/>
          <w:sz w:val="20"/>
          <w:szCs w:val="20"/>
        </w:rPr>
        <w:t xml:space="preserve"> desde el menú Tablas\Administración\Configuración.</w:t>
      </w:r>
      <w:r>
        <w:rPr>
          <w:rFonts w:ascii="Arial" w:hAnsi="Arial" w:cs="Arial"/>
          <w:sz w:val="20"/>
          <w:szCs w:val="20"/>
        </w:rPr>
        <w:br w:type="page"/>
      </w: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Se puede configurar la exención de esta retención de cada proveedor, desde la solapa </w:t>
      </w:r>
      <w:r w:rsidRPr="00F56DB9">
        <w:rPr>
          <w:rFonts w:ascii="Arial" w:hAnsi="Arial" w:cs="Arial"/>
          <w:b/>
          <w:sz w:val="20"/>
          <w:szCs w:val="20"/>
        </w:rPr>
        <w:t>“</w:t>
      </w:r>
      <w:r>
        <w:rPr>
          <w:rFonts w:ascii="Arial" w:hAnsi="Arial" w:cs="Arial"/>
          <w:b/>
          <w:sz w:val="20"/>
          <w:szCs w:val="20"/>
        </w:rPr>
        <w:t>Retenciones</w:t>
      </w:r>
      <w:r w:rsidRPr="00F56DB9">
        <w:rPr>
          <w:rFonts w:ascii="Arial" w:hAnsi="Arial" w:cs="Arial"/>
          <w:b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de la pantalla de proveedores (Tablas \ Proveedores \ Proveedores). </w:t>
      </w: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096385" cy="2033905"/>
            <wp:effectExtent l="0" t="0" r="0" b="444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</w:p>
    <w:p w:rsidR="00061297" w:rsidRDefault="00061297" w:rsidP="00061297">
      <w:pPr>
        <w:rPr>
          <w:rFonts w:ascii="Arial" w:hAnsi="Arial" w:cs="Arial"/>
          <w:b/>
          <w:sz w:val="22"/>
          <w:szCs w:val="22"/>
        </w:rPr>
      </w:pPr>
      <w:r w:rsidRPr="002018D0">
        <w:rPr>
          <w:rFonts w:ascii="Arial" w:hAnsi="Arial" w:cs="Arial"/>
          <w:b/>
          <w:sz w:val="22"/>
          <w:szCs w:val="22"/>
        </w:rPr>
        <w:t>Calculo de Retención</w:t>
      </w:r>
    </w:p>
    <w:p w:rsidR="00061297" w:rsidRPr="002018D0" w:rsidRDefault="00061297" w:rsidP="00061297">
      <w:pPr>
        <w:rPr>
          <w:rFonts w:ascii="Arial" w:hAnsi="Arial" w:cs="Arial"/>
          <w:b/>
          <w:sz w:val="22"/>
          <w:szCs w:val="22"/>
        </w:rPr>
      </w:pP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momento de seleccionar el proveedor en las pantallas de OP y Anticipos, si la función está habilitada.</w:t>
      </w: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Una vez asignados los comprobantes a cancelar, se puede hacer </w:t>
      </w:r>
      <w:proofErr w:type="spellStart"/>
      <w:r>
        <w:rPr>
          <w:rFonts w:ascii="Arial" w:hAnsi="Arial" w:cs="Arial"/>
          <w:sz w:val="20"/>
          <w:szCs w:val="20"/>
        </w:rPr>
        <w:t>click</w:t>
      </w:r>
      <w:proofErr w:type="spellEnd"/>
      <w:r>
        <w:rPr>
          <w:rFonts w:ascii="Arial" w:hAnsi="Arial" w:cs="Arial"/>
          <w:sz w:val="20"/>
          <w:szCs w:val="20"/>
        </w:rPr>
        <w:t xml:space="preserve"> en el botón “Calcular Retenciones” que las agregara en la solapa “Valores” en caso de que corresponda retener.</w:t>
      </w: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672205" cy="2223770"/>
            <wp:effectExtent l="0" t="0" r="4445" b="508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205" cy="222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</w:p>
    <w:p w:rsidR="00061297" w:rsidRDefault="00061297" w:rsidP="00061297">
      <w:pPr>
        <w:rPr>
          <w:rFonts w:ascii="Arial" w:hAnsi="Arial" w:cs="Arial"/>
          <w:b/>
          <w:sz w:val="20"/>
          <w:szCs w:val="20"/>
        </w:rPr>
      </w:pPr>
    </w:p>
    <w:p w:rsidR="00061297" w:rsidRPr="00F56DB9" w:rsidRDefault="00061297" w:rsidP="0006129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Aclaraciones</w:t>
      </w: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Desde la pantalla de configuración de comprobantes (Tablas \ Generales \ Comprobantes) se puede configurar que comprobantes excluir del </w:t>
      </w:r>
      <w:proofErr w:type="spellStart"/>
      <w:r>
        <w:rPr>
          <w:rFonts w:ascii="Arial" w:hAnsi="Arial" w:cs="Arial"/>
          <w:sz w:val="20"/>
          <w:szCs w:val="20"/>
        </w:rPr>
        <w:t>calculo</w:t>
      </w:r>
      <w:proofErr w:type="spellEnd"/>
      <w:r>
        <w:rPr>
          <w:rFonts w:ascii="Arial" w:hAnsi="Arial" w:cs="Arial"/>
          <w:sz w:val="20"/>
          <w:szCs w:val="20"/>
        </w:rPr>
        <w:t xml:space="preserve"> de retención.</w:t>
      </w:r>
    </w:p>
    <w:p w:rsidR="00061297" w:rsidRDefault="00061297" w:rsidP="000612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Buscar en la solapa “Impresión / Alertas” el </w:t>
      </w:r>
      <w:proofErr w:type="spellStart"/>
      <w:r>
        <w:rPr>
          <w:rFonts w:ascii="Arial" w:hAnsi="Arial" w:cs="Arial"/>
          <w:sz w:val="20"/>
          <w:szCs w:val="20"/>
        </w:rPr>
        <w:t>check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6D1BC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011680" cy="190500"/>
            <wp:effectExtent l="0" t="0" r="7620" b="0"/>
            <wp:docPr id="6" name="Imagen 6" descr="%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%À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C6" w:rsidRPr="00C44D85" w:rsidRDefault="003A48C6" w:rsidP="00C44D85">
      <w:bookmarkStart w:id="0" w:name="_GoBack"/>
      <w:bookmarkEnd w:id="0"/>
    </w:p>
    <w:sectPr w:rsidR="003A48C6" w:rsidRPr="00C44D85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754" w:rsidRDefault="00B53754" w:rsidP="005166CB">
      <w:r>
        <w:separator/>
      </w:r>
    </w:p>
  </w:endnote>
  <w:endnote w:type="continuationSeparator" w:id="0">
    <w:p w:rsidR="00B53754" w:rsidRDefault="00B53754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754" w:rsidRDefault="00B53754" w:rsidP="005166CB">
      <w:r>
        <w:separator/>
      </w:r>
    </w:p>
  </w:footnote>
  <w:footnote w:type="continuationSeparator" w:id="0">
    <w:p w:rsidR="00B53754" w:rsidRDefault="00B53754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E82941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-434340</wp:posOffset>
          </wp:positionV>
          <wp:extent cx="7110378" cy="790042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 impuest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0378" cy="790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61297"/>
    <w:rsid w:val="000D7851"/>
    <w:rsid w:val="001A445A"/>
    <w:rsid w:val="001B5F09"/>
    <w:rsid w:val="002556D4"/>
    <w:rsid w:val="002A496C"/>
    <w:rsid w:val="003A48C6"/>
    <w:rsid w:val="00515A95"/>
    <w:rsid w:val="005166CB"/>
    <w:rsid w:val="005316CB"/>
    <w:rsid w:val="005A3717"/>
    <w:rsid w:val="00607B02"/>
    <w:rsid w:val="00797B56"/>
    <w:rsid w:val="0082378B"/>
    <w:rsid w:val="00870049"/>
    <w:rsid w:val="008B3800"/>
    <w:rsid w:val="00A55582"/>
    <w:rsid w:val="00AB684E"/>
    <w:rsid w:val="00B53754"/>
    <w:rsid w:val="00BF4E57"/>
    <w:rsid w:val="00C44D85"/>
    <w:rsid w:val="00C56A81"/>
    <w:rsid w:val="00CB75D4"/>
    <w:rsid w:val="00CF09A1"/>
    <w:rsid w:val="00D76D36"/>
    <w:rsid w:val="00DE11E5"/>
    <w:rsid w:val="00E82941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E854F-8E79-42B5-A523-F654C1FE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2017-04-03T14:49:00Z</dcterms:created>
  <dcterms:modified xsi:type="dcterms:W3CDTF">2017-04-03T14:49:00Z</dcterms:modified>
</cp:coreProperties>
</file>